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1A8A5" w14:textId="4BF3A446" w:rsidR="00A56725" w:rsidRDefault="00A56725" w:rsidP="00666193">
      <w:pPr>
        <w:tabs>
          <w:tab w:val="left" w:pos="10654"/>
        </w:tabs>
        <w:jc w:val="both"/>
      </w:pPr>
      <w:r>
        <w:t>Høringsmatrise –</w:t>
      </w:r>
      <w:r w:rsidR="005A1DDE">
        <w:t xml:space="preserve">endring i </w:t>
      </w:r>
      <w:r>
        <w:t xml:space="preserve">forskrift om </w:t>
      </w:r>
      <w:r w:rsidR="005A1DDE">
        <w:t>farlig last på norske skip og</w:t>
      </w:r>
      <w:r>
        <w:t xml:space="preserve"> </w:t>
      </w:r>
      <w:r w:rsidR="005A1DDE">
        <w:t>endring i miljøsikkerhetsforskriften</w:t>
      </w:r>
    </w:p>
    <w:p w14:paraId="3CFF8FDE" w14:textId="77777777" w:rsidR="005A3D10" w:rsidRDefault="00663911">
      <w:pPr>
        <w:rPr>
          <w:sz w:val="20"/>
          <w:szCs w:val="20"/>
          <w:lang w:val="nn-NO"/>
        </w:rPr>
      </w:pPr>
      <w:r w:rsidRPr="00663911">
        <w:rPr>
          <w:sz w:val="20"/>
          <w:szCs w:val="20"/>
          <w:lang w:val="nn-NO"/>
        </w:rPr>
        <w:t xml:space="preserve">Nr.: </w:t>
      </w: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  <w:t>F</w:t>
      </w:r>
      <w:r w:rsidRPr="00663911">
        <w:rPr>
          <w:sz w:val="20"/>
          <w:szCs w:val="20"/>
          <w:lang w:val="nn-NO"/>
        </w:rPr>
        <w:t>or</w:t>
      </w:r>
      <w:r>
        <w:rPr>
          <w:sz w:val="20"/>
          <w:szCs w:val="20"/>
          <w:lang w:val="nn-NO"/>
        </w:rPr>
        <w:t>t</w:t>
      </w:r>
      <w:r w:rsidRPr="00663911">
        <w:rPr>
          <w:sz w:val="20"/>
          <w:szCs w:val="20"/>
          <w:lang w:val="nn-NO"/>
        </w:rPr>
        <w:t>l</w:t>
      </w:r>
      <w:r>
        <w:rPr>
          <w:sz w:val="20"/>
          <w:szCs w:val="20"/>
          <w:lang w:val="nn-NO"/>
        </w:rPr>
        <w:t>øpende nummerering som starter på 1.</w:t>
      </w:r>
    </w:p>
    <w:p w14:paraId="333F0DE4" w14:textId="77777777" w:rsidR="00663911" w:rsidRDefault="00663911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Dok. nr.:</w:t>
      </w: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</w:r>
      <w:r w:rsidR="00E000F8">
        <w:rPr>
          <w:sz w:val="20"/>
          <w:szCs w:val="20"/>
          <w:lang w:val="nn-NO"/>
        </w:rPr>
        <w:t>Sjøfartsdirektoratets s</w:t>
      </w:r>
      <w:r>
        <w:rPr>
          <w:sz w:val="20"/>
          <w:szCs w:val="20"/>
          <w:lang w:val="nn-NO"/>
        </w:rPr>
        <w:t>aks- og dokumentnummer (åååå/nnnnn-nr.)</w:t>
      </w:r>
    </w:p>
    <w:p w14:paraId="1504C04B" w14:textId="77777777" w:rsidR="00663911" w:rsidRPr="00A56725" w:rsidRDefault="00663911">
      <w:pPr>
        <w:rPr>
          <w:sz w:val="20"/>
          <w:szCs w:val="20"/>
          <w:lang w:val="nn-NO"/>
        </w:rPr>
      </w:pPr>
      <w:r w:rsidRPr="00A56725">
        <w:rPr>
          <w:sz w:val="20"/>
          <w:szCs w:val="20"/>
          <w:lang w:val="nn-NO"/>
        </w:rPr>
        <w:t>§ i høringsbrev:</w:t>
      </w:r>
      <w:r w:rsidRPr="00A56725">
        <w:rPr>
          <w:sz w:val="20"/>
          <w:szCs w:val="20"/>
          <w:lang w:val="nn-NO"/>
        </w:rPr>
        <w:tab/>
        <w:t>Paragraf omtalt i høringsbrevet</w:t>
      </w:r>
      <w:r w:rsidR="00924E80" w:rsidRPr="00A56725">
        <w:rPr>
          <w:sz w:val="20"/>
          <w:szCs w:val="20"/>
          <w:lang w:val="nn-NO"/>
        </w:rPr>
        <w:t>.</w:t>
      </w:r>
    </w:p>
    <w:p w14:paraId="7251B644" w14:textId="77777777" w:rsidR="00E000F8" w:rsidRPr="00F149CC" w:rsidRDefault="00E000F8">
      <w:pPr>
        <w:rPr>
          <w:sz w:val="20"/>
          <w:szCs w:val="20"/>
          <w:lang w:val="nn-NO"/>
        </w:rPr>
      </w:pPr>
      <w:r w:rsidRPr="00F149CC">
        <w:rPr>
          <w:sz w:val="20"/>
          <w:szCs w:val="20"/>
          <w:lang w:val="nn-NO"/>
        </w:rPr>
        <w:t>t.o.:</w:t>
      </w:r>
      <w:r w:rsidRPr="00F149CC">
        <w:rPr>
          <w:sz w:val="20"/>
          <w:szCs w:val="20"/>
          <w:lang w:val="nn-NO"/>
        </w:rPr>
        <w:tab/>
      </w:r>
      <w:r w:rsidRPr="00F149CC">
        <w:rPr>
          <w:sz w:val="20"/>
          <w:szCs w:val="20"/>
          <w:lang w:val="nn-NO"/>
        </w:rPr>
        <w:tab/>
        <w:t>Til orientering, dvs. merknaden er notert uten videre oppfølgning</w:t>
      </w:r>
      <w:r w:rsidR="00924E80" w:rsidRPr="00F149CC">
        <w:rPr>
          <w:sz w:val="20"/>
          <w:szCs w:val="20"/>
          <w:lang w:val="nn-NO"/>
        </w:rPr>
        <w:t xml:space="preserve"> fra Sjøfartsdirektoratets side</w:t>
      </w:r>
      <w:r w:rsidRPr="00F149CC">
        <w:rPr>
          <w:sz w:val="20"/>
          <w:szCs w:val="20"/>
          <w:lang w:val="nn-NO"/>
        </w:rPr>
        <w:t>.</w:t>
      </w:r>
    </w:p>
    <w:p w14:paraId="43CA314F" w14:textId="77777777" w:rsidR="00E000F8" w:rsidRPr="00AF6302" w:rsidRDefault="00E000F8" w:rsidP="00AF6302">
      <w:pPr>
        <w:pStyle w:val="Listeavsnitt"/>
        <w:numPr>
          <w:ilvl w:val="0"/>
          <w:numId w:val="9"/>
        </w:numPr>
        <w:rPr>
          <w:sz w:val="20"/>
          <w:szCs w:val="20"/>
        </w:rPr>
      </w:pPr>
      <w:r w:rsidRPr="00AF6302">
        <w:rPr>
          <w:sz w:val="20"/>
          <w:szCs w:val="20"/>
        </w:rPr>
        <w:t>Tas ikke til følge:</w:t>
      </w:r>
      <w:r w:rsidRPr="00AF6302">
        <w:rPr>
          <w:sz w:val="20"/>
          <w:szCs w:val="20"/>
        </w:rPr>
        <w:tab/>
        <w:t>Mulig konklusjon etter en vurdering av merknader til forskriftsforslaget.</w:t>
      </w:r>
    </w:p>
    <w:p w14:paraId="3ED27F0A" w14:textId="04FC04C2" w:rsidR="005A3D10" w:rsidRPr="00E000F8" w:rsidRDefault="005A3D10" w:rsidP="005A3D10">
      <w:pPr>
        <w:pStyle w:val="Bildetekst"/>
        <w:keepNext/>
      </w:pPr>
      <w:r w:rsidRPr="00E000F8">
        <w:lastRenderedPageBreak/>
        <w:t xml:space="preserve">Endring i </w:t>
      </w:r>
      <w:r w:rsidR="005A1DDE">
        <w:t>f</w:t>
      </w:r>
      <w:r w:rsidRPr="00E000F8">
        <w:t xml:space="preserve">orskrift </w:t>
      </w:r>
      <w:r w:rsidR="005A1DDE">
        <w:t>om farlig last på norske skip og endring i miljøsikkerhetsforskriften</w:t>
      </w:r>
    </w:p>
    <w:tbl>
      <w:tblPr>
        <w:tblStyle w:val="Tabellrutenett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554"/>
        <w:gridCol w:w="1139"/>
        <w:gridCol w:w="1985"/>
        <w:gridCol w:w="5670"/>
        <w:gridCol w:w="4252"/>
      </w:tblGrid>
      <w:tr w:rsidR="0042414D" w14:paraId="322B9230" w14:textId="77777777" w:rsidTr="007F0115">
        <w:trPr>
          <w:tblHeader/>
        </w:trPr>
        <w:tc>
          <w:tcPr>
            <w:tcW w:w="704" w:type="dxa"/>
          </w:tcPr>
          <w:p w14:paraId="2C606638" w14:textId="77777777" w:rsidR="00663911" w:rsidRPr="0042414D" w:rsidRDefault="00663911" w:rsidP="00D465F2">
            <w:pPr>
              <w:jc w:val="center"/>
              <w:rPr>
                <w:b/>
                <w:sz w:val="20"/>
                <w:szCs w:val="20"/>
              </w:rPr>
            </w:pPr>
            <w:r w:rsidRPr="0042414D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554" w:type="dxa"/>
          </w:tcPr>
          <w:p w14:paraId="093E460B" w14:textId="77777777" w:rsidR="00663911" w:rsidRPr="0042414D" w:rsidRDefault="00663911" w:rsidP="00D465F2">
            <w:pPr>
              <w:jc w:val="center"/>
              <w:rPr>
                <w:b/>
                <w:sz w:val="20"/>
                <w:szCs w:val="20"/>
              </w:rPr>
            </w:pPr>
            <w:r w:rsidRPr="0042414D">
              <w:rPr>
                <w:b/>
                <w:sz w:val="20"/>
                <w:szCs w:val="20"/>
              </w:rPr>
              <w:t>Dok. nr.</w:t>
            </w:r>
          </w:p>
        </w:tc>
        <w:tc>
          <w:tcPr>
            <w:tcW w:w="1139" w:type="dxa"/>
          </w:tcPr>
          <w:p w14:paraId="3511C35A" w14:textId="77777777" w:rsidR="00663911" w:rsidRPr="0042414D" w:rsidRDefault="00663911" w:rsidP="00D465F2">
            <w:pPr>
              <w:jc w:val="center"/>
              <w:rPr>
                <w:b/>
                <w:sz w:val="20"/>
                <w:szCs w:val="20"/>
              </w:rPr>
            </w:pPr>
            <w:r w:rsidRPr="0042414D">
              <w:rPr>
                <w:b/>
                <w:sz w:val="20"/>
                <w:szCs w:val="20"/>
              </w:rPr>
              <w:t>§ i hørings-brev</w:t>
            </w:r>
          </w:p>
        </w:tc>
        <w:tc>
          <w:tcPr>
            <w:tcW w:w="1985" w:type="dxa"/>
          </w:tcPr>
          <w:p w14:paraId="058025BF" w14:textId="77777777" w:rsidR="00663911" w:rsidRPr="0042414D" w:rsidRDefault="00663911" w:rsidP="00D465F2">
            <w:pPr>
              <w:rPr>
                <w:b/>
                <w:sz w:val="20"/>
                <w:szCs w:val="20"/>
              </w:rPr>
            </w:pPr>
            <w:r w:rsidRPr="0042414D">
              <w:rPr>
                <w:b/>
                <w:sz w:val="20"/>
                <w:szCs w:val="20"/>
              </w:rPr>
              <w:t>Høringsinstans</w:t>
            </w:r>
          </w:p>
        </w:tc>
        <w:tc>
          <w:tcPr>
            <w:tcW w:w="5670" w:type="dxa"/>
          </w:tcPr>
          <w:p w14:paraId="2034BFE5" w14:textId="77777777" w:rsidR="00663911" w:rsidRPr="0042414D" w:rsidRDefault="00663911" w:rsidP="00D465F2">
            <w:pPr>
              <w:rPr>
                <w:b/>
                <w:sz w:val="20"/>
                <w:szCs w:val="20"/>
              </w:rPr>
            </w:pPr>
            <w:r w:rsidRPr="0042414D">
              <w:rPr>
                <w:b/>
                <w:sz w:val="20"/>
                <w:szCs w:val="20"/>
              </w:rPr>
              <w:t>Merknader (utdrag)</w:t>
            </w:r>
          </w:p>
        </w:tc>
        <w:tc>
          <w:tcPr>
            <w:tcW w:w="4252" w:type="dxa"/>
          </w:tcPr>
          <w:p w14:paraId="22B26DD0" w14:textId="77777777" w:rsidR="00663911" w:rsidRPr="0042414D" w:rsidRDefault="00663911" w:rsidP="00D465F2">
            <w:pPr>
              <w:rPr>
                <w:b/>
                <w:sz w:val="20"/>
                <w:szCs w:val="20"/>
              </w:rPr>
            </w:pPr>
            <w:r w:rsidRPr="0042414D">
              <w:rPr>
                <w:b/>
                <w:sz w:val="20"/>
                <w:szCs w:val="20"/>
              </w:rPr>
              <w:t>Direktoratets vurdering</w:t>
            </w:r>
          </w:p>
        </w:tc>
      </w:tr>
      <w:tr w:rsidR="0042414D" w14:paraId="54EADA63" w14:textId="77777777" w:rsidTr="007F0115">
        <w:trPr>
          <w:tblHeader/>
        </w:trPr>
        <w:tc>
          <w:tcPr>
            <w:tcW w:w="704" w:type="dxa"/>
          </w:tcPr>
          <w:p w14:paraId="4C941C2B" w14:textId="379946B9" w:rsidR="00663911" w:rsidRPr="0042414D" w:rsidRDefault="005A1DDE" w:rsidP="00D465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14:paraId="69098A91" w14:textId="7F6F1783" w:rsidR="00663911" w:rsidRPr="0042414D" w:rsidRDefault="005A1DDE" w:rsidP="00D465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2024/14225</w:t>
            </w:r>
            <w:r w:rsidR="005C6C34">
              <w:rPr>
                <w:bCs/>
                <w:sz w:val="20"/>
                <w:szCs w:val="20"/>
              </w:rPr>
              <w:t>-</w:t>
            </w:r>
            <w:r w:rsidR="00CB467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14:paraId="2E15BA90" w14:textId="4F5464C3" w:rsidR="00663911" w:rsidRPr="0042414D" w:rsidRDefault="001B0A5A" w:rsidP="00D465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12A2F0A5" w14:textId="0946699A" w:rsidR="00663911" w:rsidRPr="0042414D" w:rsidRDefault="005A1DDE" w:rsidP="0042414D">
            <w:pPr>
              <w:tabs>
                <w:tab w:val="left" w:pos="114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Det Norske Maskinistforbund</w:t>
            </w:r>
          </w:p>
        </w:tc>
        <w:tc>
          <w:tcPr>
            <w:tcW w:w="5670" w:type="dxa"/>
          </w:tcPr>
          <w:p w14:paraId="0FF6A49D" w14:textId="691DB8EE" w:rsidR="00663911" w:rsidRPr="006301F6" w:rsidRDefault="005A1DDE" w:rsidP="00D465F2">
            <w:pPr>
              <w:rPr>
                <w:rFonts w:cstheme="minorHAnsi"/>
                <w:bCs/>
                <w:sz w:val="20"/>
                <w:szCs w:val="20"/>
              </w:rPr>
            </w:pPr>
            <w:r w:rsidRPr="006301F6">
              <w:rPr>
                <w:rFonts w:cstheme="minorHAnsi"/>
                <w:bCs/>
                <w:sz w:val="20"/>
                <w:szCs w:val="20"/>
              </w:rPr>
              <w:t>Ingen</w:t>
            </w:r>
          </w:p>
        </w:tc>
        <w:tc>
          <w:tcPr>
            <w:tcW w:w="4252" w:type="dxa"/>
          </w:tcPr>
          <w:p w14:paraId="0415D722" w14:textId="1BA404ED" w:rsidR="00663911" w:rsidRPr="0042414D" w:rsidRDefault="00F149CC" w:rsidP="00F149CC">
            <w:pPr>
              <w:tabs>
                <w:tab w:val="left" w:pos="106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t.</w:t>
            </w:r>
            <w:r w:rsidR="00264A50">
              <w:rPr>
                <w:bCs/>
                <w:sz w:val="20"/>
                <w:szCs w:val="20"/>
              </w:rPr>
              <w:t>o</w:t>
            </w:r>
          </w:p>
        </w:tc>
      </w:tr>
      <w:tr w:rsidR="0042414D" w:rsidRPr="005A3D10" w14:paraId="00466791" w14:textId="77777777" w:rsidTr="007F0115">
        <w:trPr>
          <w:tblHeader/>
        </w:trPr>
        <w:tc>
          <w:tcPr>
            <w:tcW w:w="704" w:type="dxa"/>
          </w:tcPr>
          <w:p w14:paraId="50C8FA28" w14:textId="7F1D7059" w:rsidR="00663911" w:rsidRPr="0042414D" w:rsidRDefault="002558B2" w:rsidP="00D465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14:paraId="4931A37A" w14:textId="233852F5" w:rsidR="00663911" w:rsidRPr="0042414D" w:rsidRDefault="002558B2" w:rsidP="00D465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2024/14225</w:t>
            </w:r>
            <w:r w:rsidR="005C6C34">
              <w:rPr>
                <w:bCs/>
                <w:sz w:val="20"/>
                <w:szCs w:val="20"/>
              </w:rPr>
              <w:t>-</w:t>
            </w:r>
            <w:r w:rsidR="0042020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14:paraId="10595C16" w14:textId="3DDA10CA" w:rsidR="00663911" w:rsidRPr="0042414D" w:rsidRDefault="001B0A5A" w:rsidP="00D465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4F2E6686" w14:textId="589BB297" w:rsidR="00663911" w:rsidRPr="0042414D" w:rsidRDefault="005C6C34" w:rsidP="00D465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Kystverket</w:t>
            </w:r>
          </w:p>
        </w:tc>
        <w:tc>
          <w:tcPr>
            <w:tcW w:w="5670" w:type="dxa"/>
          </w:tcPr>
          <w:p w14:paraId="421FF4CD" w14:textId="05AFB9B3" w:rsidR="00663911" w:rsidRPr="00B910F0" w:rsidRDefault="005C6C34" w:rsidP="00D465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nn-NO" w:eastAsia="nb-NO"/>
              </w:rPr>
            </w:pPr>
            <w:r w:rsidRPr="00B910F0">
              <w:rPr>
                <w:rFonts w:eastAsia="Times New Roman" w:cstheme="minorHAnsi"/>
                <w:bCs/>
                <w:sz w:val="20"/>
                <w:szCs w:val="20"/>
                <w:lang w:val="nn-NO" w:eastAsia="nb-NO"/>
              </w:rPr>
              <w:t>Ingen</w:t>
            </w:r>
          </w:p>
        </w:tc>
        <w:tc>
          <w:tcPr>
            <w:tcW w:w="4252" w:type="dxa"/>
          </w:tcPr>
          <w:p w14:paraId="5EFF394F" w14:textId="7E5DC917" w:rsidR="00663911" w:rsidRPr="0042414D" w:rsidRDefault="00F149CC" w:rsidP="00D465F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nn-NO"/>
              </w:rPr>
            </w:pPr>
            <w:r>
              <w:rPr>
                <w:bCs/>
                <w:sz w:val="20"/>
                <w:szCs w:val="20"/>
                <w:lang w:val="nn-NO"/>
              </w:rPr>
              <w:t>t.</w:t>
            </w:r>
            <w:r w:rsidR="00264A50">
              <w:rPr>
                <w:bCs/>
                <w:sz w:val="20"/>
                <w:szCs w:val="20"/>
                <w:lang w:val="nn-NO"/>
              </w:rPr>
              <w:t>o</w:t>
            </w:r>
          </w:p>
        </w:tc>
      </w:tr>
      <w:tr w:rsidR="0042414D" w14:paraId="5B54DB7F" w14:textId="77777777" w:rsidTr="007F0115">
        <w:trPr>
          <w:tblHeader/>
        </w:trPr>
        <w:tc>
          <w:tcPr>
            <w:tcW w:w="704" w:type="dxa"/>
          </w:tcPr>
          <w:p w14:paraId="27FFCD51" w14:textId="089AE580" w:rsidR="00663911" w:rsidRPr="0042414D" w:rsidRDefault="00420200" w:rsidP="00D465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14:paraId="1B745347" w14:textId="7085DDAB" w:rsidR="00663911" w:rsidRPr="0042414D" w:rsidRDefault="00420200" w:rsidP="00D465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2024/14225</w:t>
            </w:r>
            <w:r w:rsidR="00D6219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14:paraId="58AB8B28" w14:textId="76F51AD1" w:rsidR="00663911" w:rsidRPr="0042414D" w:rsidRDefault="001B0A5A" w:rsidP="00D465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4806587E" w14:textId="0C07AB4A" w:rsidR="00663911" w:rsidRPr="0042414D" w:rsidRDefault="00420200" w:rsidP="00D465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DNV</w:t>
            </w:r>
          </w:p>
        </w:tc>
        <w:tc>
          <w:tcPr>
            <w:tcW w:w="5670" w:type="dxa"/>
            <w:shd w:val="clear" w:color="auto" w:fill="FFFFFF" w:themeFill="background1"/>
          </w:tcPr>
          <w:p w14:paraId="367DC73F" w14:textId="3CD582C7" w:rsidR="00663911" w:rsidRPr="006301F6" w:rsidRDefault="00420200" w:rsidP="00D465F2">
            <w:pPr>
              <w:rPr>
                <w:rFonts w:cstheme="minorHAnsi"/>
                <w:bCs/>
                <w:sz w:val="20"/>
                <w:szCs w:val="20"/>
              </w:rPr>
            </w:pPr>
            <w:r w:rsidRPr="006301F6">
              <w:rPr>
                <w:rFonts w:cstheme="minorHAnsi"/>
                <w:bCs/>
                <w:sz w:val="20"/>
                <w:szCs w:val="20"/>
              </w:rPr>
              <w:t>Ingen</w:t>
            </w:r>
          </w:p>
        </w:tc>
        <w:tc>
          <w:tcPr>
            <w:tcW w:w="4252" w:type="dxa"/>
          </w:tcPr>
          <w:p w14:paraId="12517DD4" w14:textId="6EF8851E" w:rsidR="00663911" w:rsidRPr="0042414D" w:rsidRDefault="00F149CC" w:rsidP="00D465F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t.</w:t>
            </w:r>
            <w:r w:rsidR="00264A50">
              <w:rPr>
                <w:bCs/>
                <w:sz w:val="20"/>
                <w:szCs w:val="20"/>
              </w:rPr>
              <w:t>o</w:t>
            </w:r>
          </w:p>
        </w:tc>
      </w:tr>
      <w:tr w:rsidR="0042414D" w14:paraId="019684E6" w14:textId="77777777" w:rsidTr="007F0115">
        <w:trPr>
          <w:tblHeader/>
        </w:trPr>
        <w:tc>
          <w:tcPr>
            <w:tcW w:w="704" w:type="dxa"/>
          </w:tcPr>
          <w:p w14:paraId="61757ACA" w14:textId="7ED684CB" w:rsidR="00663911" w:rsidRPr="0042414D" w:rsidRDefault="00D62198" w:rsidP="00D465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14:paraId="72F4878C" w14:textId="045F51EE" w:rsidR="00663911" w:rsidRPr="0042414D" w:rsidRDefault="003D0FA5" w:rsidP="00D465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2024/14225-7</w:t>
            </w:r>
          </w:p>
        </w:tc>
        <w:tc>
          <w:tcPr>
            <w:tcW w:w="1139" w:type="dxa"/>
          </w:tcPr>
          <w:p w14:paraId="2A0102D7" w14:textId="5FD71345" w:rsidR="00663911" w:rsidRPr="0042414D" w:rsidRDefault="001B0A5A" w:rsidP="00D465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03D6CB0D" w14:textId="693BF1BD" w:rsidR="00663911" w:rsidRPr="0042414D" w:rsidRDefault="003D0FA5" w:rsidP="00D465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Justisdepartementet</w:t>
            </w:r>
          </w:p>
        </w:tc>
        <w:tc>
          <w:tcPr>
            <w:tcW w:w="5670" w:type="dxa"/>
            <w:shd w:val="clear" w:color="auto" w:fill="FFFFFF" w:themeFill="background1"/>
          </w:tcPr>
          <w:p w14:paraId="62385623" w14:textId="17FE66EF" w:rsidR="00663911" w:rsidRPr="006301F6" w:rsidRDefault="003D0FA5" w:rsidP="00D465F2">
            <w:pPr>
              <w:pStyle w:val="Default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6301F6">
              <w:rPr>
                <w:rFonts w:cstheme="minorHAnsi"/>
                <w:bCs/>
                <w:color w:val="auto"/>
                <w:sz w:val="20"/>
                <w:szCs w:val="20"/>
              </w:rPr>
              <w:t>Ingen</w:t>
            </w:r>
          </w:p>
        </w:tc>
        <w:tc>
          <w:tcPr>
            <w:tcW w:w="4252" w:type="dxa"/>
          </w:tcPr>
          <w:p w14:paraId="264D6132" w14:textId="4F17C336" w:rsidR="00663911" w:rsidRPr="0042414D" w:rsidRDefault="00F149CC" w:rsidP="00D465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t.</w:t>
            </w:r>
            <w:r w:rsidR="00264A50">
              <w:rPr>
                <w:bCs/>
                <w:sz w:val="20"/>
                <w:szCs w:val="20"/>
              </w:rPr>
              <w:t>o</w:t>
            </w:r>
          </w:p>
        </w:tc>
      </w:tr>
      <w:tr w:rsidR="0042414D" w:rsidRPr="00FB7F66" w14:paraId="64AA69C3" w14:textId="77777777" w:rsidTr="007F0115">
        <w:trPr>
          <w:tblHeader/>
        </w:trPr>
        <w:tc>
          <w:tcPr>
            <w:tcW w:w="704" w:type="dxa"/>
          </w:tcPr>
          <w:p w14:paraId="067514D8" w14:textId="0A05AC78" w:rsidR="00663911" w:rsidRPr="0042414D" w:rsidRDefault="00D62198" w:rsidP="00D465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14:paraId="54AD592B" w14:textId="19F3F109" w:rsidR="00663911" w:rsidRPr="0042414D" w:rsidRDefault="003A63AF" w:rsidP="00D465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2024/14225-8</w:t>
            </w:r>
          </w:p>
        </w:tc>
        <w:tc>
          <w:tcPr>
            <w:tcW w:w="1139" w:type="dxa"/>
          </w:tcPr>
          <w:p w14:paraId="19429C86" w14:textId="32DB45E8" w:rsidR="00663911" w:rsidRPr="0042414D" w:rsidRDefault="001B0A5A" w:rsidP="00D465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B7B895D" w14:textId="7051BF21" w:rsidR="00663911" w:rsidRPr="0042414D" w:rsidRDefault="003A63AF" w:rsidP="00D465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Langset</w:t>
            </w:r>
            <w:r w:rsidR="00B106CF">
              <w:rPr>
                <w:bCs/>
                <w:sz w:val="20"/>
                <w:szCs w:val="20"/>
              </w:rPr>
              <w:t xml:space="preserve"> Maritim</w:t>
            </w:r>
            <w:r w:rsidR="00271749">
              <w:rPr>
                <w:bCs/>
                <w:sz w:val="20"/>
                <w:szCs w:val="20"/>
              </w:rPr>
              <w:t>e</w:t>
            </w:r>
            <w:r w:rsidR="00B106CF">
              <w:rPr>
                <w:bCs/>
                <w:sz w:val="20"/>
                <w:szCs w:val="20"/>
              </w:rPr>
              <w:t xml:space="preserve"> AS</w:t>
            </w:r>
          </w:p>
        </w:tc>
        <w:tc>
          <w:tcPr>
            <w:tcW w:w="5670" w:type="dxa"/>
            <w:shd w:val="clear" w:color="auto" w:fill="FFFFFF" w:themeFill="background1"/>
          </w:tcPr>
          <w:p w14:paraId="42F70BE4" w14:textId="77777777" w:rsidR="00663911" w:rsidRDefault="00597FC5" w:rsidP="00D465F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Spiller inn at forskrift om farlig last bør ha egne bestemmelser som skal gjelde for far</w:t>
            </w:r>
            <w:r w:rsidR="00737986">
              <w:rPr>
                <w:bCs/>
                <w:sz w:val="20"/>
                <w:szCs w:val="20"/>
              </w:rPr>
              <w:t>tøy med største lengde under 15 meter</w:t>
            </w:r>
            <w:r w:rsidR="00F406F1">
              <w:rPr>
                <w:bCs/>
                <w:sz w:val="20"/>
                <w:szCs w:val="20"/>
              </w:rPr>
              <w:t xml:space="preserve"> som ikke er kjemikalietankere.</w:t>
            </w:r>
          </w:p>
          <w:p w14:paraId="4FC7D5DE" w14:textId="58746FB6" w:rsidR="00F406F1" w:rsidRDefault="00F406F1" w:rsidP="00D465F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Videre spilles det inn</w:t>
            </w:r>
            <w:r w:rsidR="00380DA2">
              <w:rPr>
                <w:bCs/>
                <w:sz w:val="20"/>
                <w:szCs w:val="20"/>
              </w:rPr>
              <w:t xml:space="preserve"> </w:t>
            </w:r>
            <w:r w:rsidR="00165AD0">
              <w:rPr>
                <w:bCs/>
                <w:sz w:val="20"/>
                <w:szCs w:val="20"/>
              </w:rPr>
              <w:t>forslag til oppbevaring av maursyre til eget forbruk</w:t>
            </w:r>
            <w:r w:rsidR="00CE0C48">
              <w:rPr>
                <w:bCs/>
                <w:sz w:val="20"/>
                <w:szCs w:val="20"/>
              </w:rPr>
              <w:t>, videre</w:t>
            </w:r>
            <w:r w:rsidR="006846F3">
              <w:rPr>
                <w:bCs/>
                <w:sz w:val="20"/>
                <w:szCs w:val="20"/>
              </w:rPr>
              <w:t xml:space="preserve"> at tankvasking bør kunne foregå </w:t>
            </w:r>
            <w:r w:rsidR="004B18CD">
              <w:rPr>
                <w:bCs/>
                <w:sz w:val="20"/>
                <w:szCs w:val="20"/>
              </w:rPr>
              <w:t>innenfor 12. n. mil fra land.</w:t>
            </w:r>
          </w:p>
          <w:p w14:paraId="3D516F9B" w14:textId="78519E8D" w:rsidR="004B18CD" w:rsidRPr="0042414D" w:rsidRDefault="004B18CD" w:rsidP="00D465F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Instansen </w:t>
            </w:r>
            <w:r w:rsidR="008D600F">
              <w:rPr>
                <w:bCs/>
                <w:sz w:val="20"/>
                <w:szCs w:val="20"/>
              </w:rPr>
              <w:t>mener også at forskrift</w:t>
            </w:r>
            <w:r w:rsidR="004F21B6">
              <w:rPr>
                <w:bCs/>
                <w:sz w:val="20"/>
                <w:szCs w:val="20"/>
              </w:rPr>
              <w:t xml:space="preserve"> om </w:t>
            </w:r>
            <w:r w:rsidR="0046634D">
              <w:rPr>
                <w:bCs/>
                <w:sz w:val="20"/>
                <w:szCs w:val="20"/>
              </w:rPr>
              <w:t xml:space="preserve">farlig last </w:t>
            </w:r>
            <w:r w:rsidR="008D600F">
              <w:rPr>
                <w:bCs/>
                <w:sz w:val="20"/>
                <w:szCs w:val="20"/>
              </w:rPr>
              <w:t xml:space="preserve">bør inneholde </w:t>
            </w:r>
            <w:r w:rsidR="006B0DFB">
              <w:rPr>
                <w:bCs/>
                <w:sz w:val="20"/>
                <w:szCs w:val="20"/>
              </w:rPr>
              <w:t>kompetansekrav til mannskap om bord på lasteskip med største lengde under 15 meter</w:t>
            </w:r>
            <w:r w:rsidR="00D64F5D">
              <w:rPr>
                <w:bCs/>
                <w:sz w:val="20"/>
                <w:szCs w:val="20"/>
              </w:rPr>
              <w:t xml:space="preserve"> som ikke er kjemikalietankere.</w:t>
            </w:r>
            <w:r w:rsidR="00C6629C">
              <w:rPr>
                <w:bCs/>
                <w:sz w:val="20"/>
                <w:szCs w:val="20"/>
              </w:rPr>
              <w:t xml:space="preserve"> Avslutningsvis tar Langset Maritim</w:t>
            </w:r>
            <w:r w:rsidR="00271749">
              <w:rPr>
                <w:bCs/>
                <w:sz w:val="20"/>
                <w:szCs w:val="20"/>
              </w:rPr>
              <w:t>e</w:t>
            </w:r>
            <w:r w:rsidR="00C6629C">
              <w:rPr>
                <w:bCs/>
                <w:sz w:val="20"/>
                <w:szCs w:val="20"/>
              </w:rPr>
              <w:t xml:space="preserve"> AS til orde for at Godkjente Kontrollforetak </w:t>
            </w:r>
            <w:r w:rsidR="00005ACE">
              <w:rPr>
                <w:bCs/>
                <w:sz w:val="20"/>
                <w:szCs w:val="20"/>
              </w:rPr>
              <w:t xml:space="preserve">bør stå for godkjenningen av punkter som gjelder farlig last om bord på </w:t>
            </w:r>
            <w:r w:rsidR="0000618C">
              <w:rPr>
                <w:bCs/>
                <w:sz w:val="20"/>
                <w:szCs w:val="20"/>
              </w:rPr>
              <w:t>fartøy med største lengde under 15 meter</w:t>
            </w:r>
            <w:r w:rsidR="003B0AD0">
              <w:rPr>
                <w:bCs/>
                <w:sz w:val="20"/>
                <w:szCs w:val="20"/>
              </w:rPr>
              <w:t xml:space="preserve"> som ikke er kjemikalietankere</w:t>
            </w:r>
            <w:r w:rsidR="0000618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5CC1519E" w14:textId="2BD3C93E" w:rsidR="00F9108A" w:rsidRDefault="0000618C" w:rsidP="00D465F2">
            <w:pPr>
              <w:rPr>
                <w:bCs/>
                <w:sz w:val="20"/>
                <w:szCs w:val="20"/>
              </w:rPr>
            </w:pPr>
            <w:r w:rsidRPr="00FB7F66">
              <w:rPr>
                <w:bCs/>
                <w:sz w:val="20"/>
                <w:szCs w:val="20"/>
              </w:rPr>
              <w:t>Langset Maritim</w:t>
            </w:r>
            <w:r w:rsidR="001522C2">
              <w:rPr>
                <w:bCs/>
                <w:sz w:val="20"/>
                <w:szCs w:val="20"/>
              </w:rPr>
              <w:t>e</w:t>
            </w:r>
            <w:r w:rsidRPr="00FB7F66">
              <w:rPr>
                <w:bCs/>
                <w:sz w:val="20"/>
                <w:szCs w:val="20"/>
              </w:rPr>
              <w:t xml:space="preserve"> AS</w:t>
            </w:r>
            <w:r w:rsidR="00242197">
              <w:rPr>
                <w:bCs/>
                <w:sz w:val="20"/>
                <w:szCs w:val="20"/>
              </w:rPr>
              <w:t>’</w:t>
            </w:r>
            <w:r w:rsidRPr="00FB7F66">
              <w:rPr>
                <w:bCs/>
                <w:sz w:val="20"/>
                <w:szCs w:val="20"/>
              </w:rPr>
              <w:t xml:space="preserve"> innspill </w:t>
            </w:r>
            <w:r w:rsidR="00FB7F66" w:rsidRPr="00FB7F66">
              <w:rPr>
                <w:bCs/>
                <w:sz w:val="20"/>
                <w:szCs w:val="20"/>
              </w:rPr>
              <w:t>e</w:t>
            </w:r>
            <w:r w:rsidR="00FB7F66" w:rsidRPr="00F149CC">
              <w:rPr>
                <w:bCs/>
                <w:sz w:val="20"/>
                <w:szCs w:val="20"/>
              </w:rPr>
              <w:t>r ikke</w:t>
            </w:r>
            <w:r w:rsidR="00FB7F66">
              <w:rPr>
                <w:bCs/>
                <w:sz w:val="20"/>
                <w:szCs w:val="20"/>
              </w:rPr>
              <w:t xml:space="preserve"> relevante for endringsforskriften som var på høring i tilknytning til</w:t>
            </w:r>
            <w:r w:rsidR="00465735">
              <w:rPr>
                <w:bCs/>
                <w:sz w:val="20"/>
                <w:szCs w:val="20"/>
              </w:rPr>
              <w:t xml:space="preserve"> gjennomføring</w:t>
            </w:r>
            <w:r w:rsidR="00132F0C">
              <w:rPr>
                <w:bCs/>
                <w:sz w:val="20"/>
                <w:szCs w:val="20"/>
              </w:rPr>
              <w:t>en i norsk rett av</w:t>
            </w:r>
            <w:r w:rsidR="00FB7F66">
              <w:rPr>
                <w:bCs/>
                <w:sz w:val="20"/>
                <w:szCs w:val="20"/>
              </w:rPr>
              <w:t xml:space="preserve"> endringer </w:t>
            </w:r>
            <w:r w:rsidR="00242197">
              <w:rPr>
                <w:bCs/>
                <w:sz w:val="20"/>
                <w:szCs w:val="20"/>
              </w:rPr>
              <w:t>i IBC-koden.</w:t>
            </w:r>
            <w:r w:rsidR="00F9108A">
              <w:rPr>
                <w:bCs/>
                <w:sz w:val="20"/>
                <w:szCs w:val="20"/>
              </w:rPr>
              <w:t xml:space="preserve"> </w:t>
            </w:r>
          </w:p>
          <w:p w14:paraId="19A60C58" w14:textId="0FE19943" w:rsidR="00663911" w:rsidRDefault="00F9108A" w:rsidP="00D465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Innspillene tas ikke til følge i denne omgangen.</w:t>
            </w:r>
          </w:p>
          <w:p w14:paraId="78335756" w14:textId="431C1927" w:rsidR="00242197" w:rsidRPr="00FB7F66" w:rsidRDefault="00242197" w:rsidP="00B866C0">
            <w:pPr>
              <w:rPr>
                <w:bCs/>
                <w:sz w:val="20"/>
                <w:szCs w:val="20"/>
              </w:rPr>
            </w:pPr>
          </w:p>
        </w:tc>
      </w:tr>
      <w:tr w:rsidR="0042414D" w:rsidRPr="00FB7F66" w14:paraId="40F754EA" w14:textId="77777777" w:rsidTr="007F0115">
        <w:trPr>
          <w:tblHeader/>
        </w:trPr>
        <w:tc>
          <w:tcPr>
            <w:tcW w:w="704" w:type="dxa"/>
          </w:tcPr>
          <w:p w14:paraId="78A850DA" w14:textId="6B2AB211" w:rsidR="00663911" w:rsidRPr="00FB7F66" w:rsidRDefault="00D62198" w:rsidP="00D465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4" w:type="dxa"/>
          </w:tcPr>
          <w:p w14:paraId="6C32B46D" w14:textId="4F0A1494" w:rsidR="00663911" w:rsidRPr="00FB7F66" w:rsidRDefault="00D06D03" w:rsidP="00D465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2024/14225-9</w:t>
            </w:r>
          </w:p>
        </w:tc>
        <w:tc>
          <w:tcPr>
            <w:tcW w:w="1139" w:type="dxa"/>
          </w:tcPr>
          <w:p w14:paraId="7040B5E7" w14:textId="5BAF510A" w:rsidR="00663911" w:rsidRPr="00FB7F66" w:rsidRDefault="001B0A5A" w:rsidP="00D465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D8F45F1" w14:textId="4AD62B7A" w:rsidR="00663911" w:rsidRPr="00FB7F66" w:rsidRDefault="00D06D03" w:rsidP="00D465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MOWI</w:t>
            </w:r>
          </w:p>
        </w:tc>
        <w:tc>
          <w:tcPr>
            <w:tcW w:w="5670" w:type="dxa"/>
            <w:shd w:val="clear" w:color="auto" w:fill="FFFFFF" w:themeFill="background1"/>
          </w:tcPr>
          <w:p w14:paraId="7C7B2575" w14:textId="4DFDEBB1" w:rsidR="00663911" w:rsidRPr="00FB7F66" w:rsidRDefault="00D06D03" w:rsidP="00D465F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MOWI slutter seg til innspillene fra Langset Maritim</w:t>
            </w:r>
            <w:r w:rsidR="00271749">
              <w:rPr>
                <w:rFonts w:cs="Arial"/>
                <w:bCs/>
                <w:sz w:val="20"/>
                <w:szCs w:val="20"/>
              </w:rPr>
              <w:t>e</w:t>
            </w:r>
            <w:r>
              <w:rPr>
                <w:rFonts w:cs="Arial"/>
                <w:bCs/>
                <w:sz w:val="20"/>
                <w:szCs w:val="20"/>
              </w:rPr>
              <w:t xml:space="preserve"> AS</w:t>
            </w:r>
          </w:p>
        </w:tc>
        <w:tc>
          <w:tcPr>
            <w:tcW w:w="4252" w:type="dxa"/>
          </w:tcPr>
          <w:p w14:paraId="1B5903E6" w14:textId="0D2967F4" w:rsidR="00663911" w:rsidRPr="00FB7F66" w:rsidRDefault="005C6767" w:rsidP="00D465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 Sjøfartsdirektoratets vurdering av Langset Maritim</w:t>
            </w:r>
            <w:r w:rsidR="00271749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 xml:space="preserve"> AS’ innspill.</w:t>
            </w:r>
          </w:p>
        </w:tc>
      </w:tr>
    </w:tbl>
    <w:p w14:paraId="15C96C6B" w14:textId="77777777" w:rsidR="005A3D10" w:rsidRPr="00951EDF" w:rsidRDefault="005A3D10">
      <w:pPr>
        <w:rPr>
          <w:sz w:val="20"/>
          <w:szCs w:val="20"/>
        </w:rPr>
      </w:pPr>
    </w:p>
    <w:sectPr w:rsidR="005A3D10" w:rsidRPr="00951EDF" w:rsidSect="0051795B">
      <w:headerReference w:type="default" r:id="rId10"/>
      <w:footerReference w:type="default" r:id="rId11"/>
      <w:footerReference w:type="first" r:id="rId12"/>
      <w:pgSz w:w="16838" w:h="11906" w:orient="landscape" w:code="9"/>
      <w:pgMar w:top="1304" w:right="1134" w:bottom="1134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9B3AD" w14:textId="77777777" w:rsidR="00D16477" w:rsidRDefault="00D16477">
      <w:r>
        <w:separator/>
      </w:r>
    </w:p>
  </w:endnote>
  <w:endnote w:type="continuationSeparator" w:id="0">
    <w:p w14:paraId="6DDBB6F7" w14:textId="77777777" w:rsidR="00D16477" w:rsidRDefault="00D16477">
      <w:r>
        <w:continuationSeparator/>
      </w:r>
    </w:p>
  </w:endnote>
  <w:endnote w:type="continuationNotice" w:id="1">
    <w:p w14:paraId="28B94AA4" w14:textId="77777777" w:rsidR="00D16477" w:rsidRDefault="00D164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D7BDC" w14:textId="77777777" w:rsidR="00A56725" w:rsidRDefault="00A56725" w:rsidP="00666193">
    <w:pPr>
      <w:pStyle w:val="Bunntekst"/>
      <w:tabs>
        <w:tab w:val="left" w:pos="7230"/>
      </w:tabs>
      <w:jc w:val="both"/>
    </w:pPr>
    <w:r>
      <w:t>EQS dokument 5674</w:t>
    </w:r>
    <w:r>
      <w:tab/>
    </w:r>
    <w:r>
      <w:tab/>
      <w:t>Rev.: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  <w:gridCol w:w="992"/>
    </w:tblGrid>
    <w:tr w:rsidR="002B7861" w14:paraId="186F2D4B" w14:textId="77777777">
      <w:tc>
        <w:tcPr>
          <w:tcW w:w="9284" w:type="dxa"/>
        </w:tcPr>
        <w:p w14:paraId="0E2CE6C4" w14:textId="06D5F081" w:rsidR="002B7861" w:rsidRDefault="002B7861">
          <w:pPr>
            <w:pStyle w:val="Bunntekst"/>
            <w:tabs>
              <w:tab w:val="clear" w:pos="4536"/>
              <w:tab w:val="right" w:pos="9356"/>
            </w:tabs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fldChar w:fldCharType="begin"/>
          </w:r>
          <w:r>
            <w:rPr>
              <w:rFonts w:ascii="Arial" w:hAnsi="Arial"/>
              <w:sz w:val="14"/>
            </w:rPr>
            <w:instrText xml:space="preserve"> FILENAME \p  \* MERGEFORMAT </w:instrText>
          </w:r>
          <w:r>
            <w:rPr>
              <w:rFonts w:ascii="Arial" w:hAnsi="Arial"/>
              <w:sz w:val="14"/>
            </w:rPr>
            <w:fldChar w:fldCharType="separate"/>
          </w:r>
          <w:r w:rsidR="005A1DDE">
            <w:rPr>
              <w:rFonts w:ascii="Arial" w:hAnsi="Arial"/>
              <w:noProof/>
              <w:sz w:val="14"/>
            </w:rPr>
            <w:t>Dokument6</w:t>
          </w:r>
          <w:r>
            <w:rPr>
              <w:rFonts w:ascii="Arial" w:hAnsi="Arial"/>
              <w:sz w:val="14"/>
            </w:rPr>
            <w:fldChar w:fldCharType="end"/>
          </w:r>
          <w:r>
            <w:rPr>
              <w:rFonts w:ascii="Arial" w:hAnsi="Arial"/>
              <w:sz w:val="14"/>
            </w:rPr>
            <w:t xml:space="preserve">  -  </w:t>
          </w:r>
          <w:r>
            <w:rPr>
              <w:rFonts w:ascii="Arial" w:hAnsi="Arial"/>
              <w:sz w:val="14"/>
            </w:rPr>
            <w:fldChar w:fldCharType="begin"/>
          </w:r>
          <w:r>
            <w:rPr>
              <w:rFonts w:ascii="Arial" w:hAnsi="Arial"/>
              <w:sz w:val="14"/>
            </w:rPr>
            <w:instrText xml:space="preserve"> TIME \@ "dd.MM.yyyy" </w:instrText>
          </w:r>
          <w:r>
            <w:rPr>
              <w:rFonts w:ascii="Arial" w:hAnsi="Arial"/>
              <w:sz w:val="14"/>
            </w:rPr>
            <w:fldChar w:fldCharType="separate"/>
          </w:r>
          <w:r w:rsidR="00794F5E">
            <w:rPr>
              <w:rFonts w:ascii="Arial" w:hAnsi="Arial"/>
              <w:noProof/>
              <w:sz w:val="14"/>
            </w:rPr>
            <w:t>24.06.2024</w:t>
          </w:r>
          <w:r>
            <w:rPr>
              <w:rFonts w:ascii="Arial" w:hAnsi="Arial"/>
              <w:sz w:val="14"/>
            </w:rPr>
            <w:fldChar w:fldCharType="end"/>
          </w:r>
        </w:p>
      </w:tc>
      <w:tc>
        <w:tcPr>
          <w:tcW w:w="992" w:type="dxa"/>
        </w:tcPr>
        <w:p w14:paraId="6B9D9BCE" w14:textId="77777777" w:rsidR="002B7861" w:rsidRDefault="002B7861">
          <w:pPr>
            <w:pStyle w:val="Bunntekst"/>
            <w:tabs>
              <w:tab w:val="right" w:pos="9356"/>
            </w:tabs>
            <w:jc w:val="right"/>
            <w:rPr>
              <w:rFonts w:ascii="Arial" w:hAnsi="Arial"/>
              <w:sz w:val="14"/>
            </w:rPr>
          </w:pPr>
        </w:p>
      </w:tc>
    </w:tr>
  </w:tbl>
  <w:p w14:paraId="7C2948AB" w14:textId="77777777" w:rsidR="002B7861" w:rsidRDefault="002B7861">
    <w:pPr>
      <w:pStyle w:val="Bunntek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C3228" w14:textId="77777777" w:rsidR="00D16477" w:rsidRDefault="00D16477">
      <w:r>
        <w:separator/>
      </w:r>
    </w:p>
  </w:footnote>
  <w:footnote w:type="continuationSeparator" w:id="0">
    <w:p w14:paraId="3F1967CC" w14:textId="77777777" w:rsidR="00D16477" w:rsidRDefault="00D16477">
      <w:r>
        <w:continuationSeparator/>
      </w:r>
    </w:p>
  </w:footnote>
  <w:footnote w:type="continuationNotice" w:id="1">
    <w:p w14:paraId="0EEA7011" w14:textId="77777777" w:rsidR="00D16477" w:rsidRDefault="00D164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enett"/>
      <w:tblpPr w:leftFromText="141" w:rightFromText="141" w:vertAnchor="text" w:horzAnchor="margin" w:tblpY="229"/>
      <w:tblW w:w="14742" w:type="dxa"/>
      <w:tblLook w:val="0600" w:firstRow="0" w:lastRow="0" w:firstColumn="0" w:lastColumn="0" w:noHBand="1" w:noVBand="1"/>
    </w:tblPr>
    <w:tblGrid>
      <w:gridCol w:w="4077"/>
      <w:gridCol w:w="10665"/>
    </w:tblGrid>
    <w:tr w:rsidR="00A56725" w14:paraId="02BBAA83" w14:textId="77777777" w:rsidTr="00A56725">
      <w:trPr>
        <w:trHeight w:hRule="exact" w:val="1130"/>
      </w:trPr>
      <w:tc>
        <w:tcPr>
          <w:tcW w:w="4077" w:type="dxa"/>
          <w:tcBorders>
            <w:top w:val="nil"/>
            <w:left w:val="nil"/>
            <w:bottom w:val="nil"/>
            <w:right w:val="nil"/>
          </w:tcBorders>
        </w:tcPr>
        <w:p w14:paraId="152CBD87" w14:textId="77777777" w:rsidR="00A56725" w:rsidRDefault="00A56725" w:rsidP="00A56725">
          <w:pPr>
            <w:pStyle w:val="Topptekst"/>
            <w:ind w:left="-142"/>
            <w:jc w:val="center"/>
          </w:pPr>
        </w:p>
      </w:tc>
      <w:tc>
        <w:tcPr>
          <w:tcW w:w="10665" w:type="dxa"/>
          <w:tcBorders>
            <w:top w:val="nil"/>
            <w:left w:val="nil"/>
            <w:bottom w:val="nil"/>
            <w:right w:val="nil"/>
          </w:tcBorders>
        </w:tcPr>
        <w:p w14:paraId="706F8E86" w14:textId="77777777" w:rsidR="00A56725" w:rsidRPr="004F2727" w:rsidRDefault="00A56725" w:rsidP="00A56725">
          <w:pPr>
            <w:pStyle w:val="Topptekst"/>
            <w:jc w:val="right"/>
            <w:rPr>
              <w:rFonts w:ascii="Arial" w:hAnsi="Arial" w:cs="Arial"/>
              <w:color w:val="008ABD"/>
              <w:sz w:val="24"/>
              <w:szCs w:val="24"/>
            </w:rPr>
          </w:pPr>
          <w:r>
            <w:rPr>
              <w:rFonts w:ascii="Arial" w:hAnsi="Arial" w:cs="Arial"/>
              <w:b/>
              <w:color w:val="008ABD"/>
              <w:sz w:val="28"/>
              <w:szCs w:val="28"/>
            </w:rPr>
            <w:t>Høringsmatrise</w:t>
          </w:r>
          <w:r w:rsidRPr="004F2727">
            <w:rPr>
              <w:rFonts w:ascii="Arial" w:hAnsi="Arial" w:cs="Arial"/>
              <w:b/>
              <w:color w:val="008ABD"/>
              <w:sz w:val="28"/>
              <w:szCs w:val="28"/>
            </w:rPr>
            <w:br/>
          </w:r>
          <w:r>
            <w:rPr>
              <w:rFonts w:ascii="Arial" w:hAnsi="Arial" w:cs="Arial"/>
              <w:color w:val="008ABD"/>
              <w:sz w:val="24"/>
              <w:szCs w:val="24"/>
            </w:rPr>
            <w:t xml:space="preserve">Prosess K2.3.1 </w:t>
          </w:r>
        </w:p>
      </w:tc>
    </w:tr>
  </w:tbl>
  <w:p w14:paraId="74891291" w14:textId="77777777" w:rsidR="002B7861" w:rsidRDefault="00A5672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0" allowOverlap="0" wp14:anchorId="45E2D160" wp14:editId="29872692">
          <wp:simplePos x="0" y="0"/>
          <wp:positionH relativeFrom="page">
            <wp:posOffset>289205</wp:posOffset>
          </wp:positionH>
          <wp:positionV relativeFrom="page">
            <wp:posOffset>-13712</wp:posOffset>
          </wp:positionV>
          <wp:extent cx="3420000" cy="12276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å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0" cy="12276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D1458"/>
    <w:multiLevelType w:val="hybridMultilevel"/>
    <w:tmpl w:val="E5FCB784"/>
    <w:lvl w:ilvl="0" w:tplc="DC8C7E2C">
      <w:start w:val="1"/>
      <w:numFmt w:val="decimal"/>
      <w:lvlText w:val="(%1)"/>
      <w:lvlJc w:val="left"/>
      <w:pPr>
        <w:ind w:left="525" w:hanging="360"/>
      </w:pPr>
    </w:lvl>
    <w:lvl w:ilvl="1" w:tplc="04140019">
      <w:start w:val="1"/>
      <w:numFmt w:val="lowerLetter"/>
      <w:lvlText w:val="%2."/>
      <w:lvlJc w:val="left"/>
      <w:pPr>
        <w:ind w:left="1245" w:hanging="360"/>
      </w:pPr>
    </w:lvl>
    <w:lvl w:ilvl="2" w:tplc="0414001B">
      <w:start w:val="1"/>
      <w:numFmt w:val="lowerRoman"/>
      <w:lvlText w:val="%3."/>
      <w:lvlJc w:val="right"/>
      <w:pPr>
        <w:ind w:left="1965" w:hanging="180"/>
      </w:pPr>
    </w:lvl>
    <w:lvl w:ilvl="3" w:tplc="0414000F">
      <w:start w:val="1"/>
      <w:numFmt w:val="decimal"/>
      <w:lvlText w:val="%4."/>
      <w:lvlJc w:val="left"/>
      <w:pPr>
        <w:ind w:left="2685" w:hanging="360"/>
      </w:pPr>
    </w:lvl>
    <w:lvl w:ilvl="4" w:tplc="04140019">
      <w:start w:val="1"/>
      <w:numFmt w:val="lowerLetter"/>
      <w:lvlText w:val="%5."/>
      <w:lvlJc w:val="left"/>
      <w:pPr>
        <w:ind w:left="3405" w:hanging="360"/>
      </w:pPr>
    </w:lvl>
    <w:lvl w:ilvl="5" w:tplc="0414001B">
      <w:start w:val="1"/>
      <w:numFmt w:val="lowerRoman"/>
      <w:lvlText w:val="%6."/>
      <w:lvlJc w:val="right"/>
      <w:pPr>
        <w:ind w:left="4125" w:hanging="180"/>
      </w:pPr>
    </w:lvl>
    <w:lvl w:ilvl="6" w:tplc="0414000F">
      <w:start w:val="1"/>
      <w:numFmt w:val="decimal"/>
      <w:lvlText w:val="%7."/>
      <w:lvlJc w:val="left"/>
      <w:pPr>
        <w:ind w:left="4845" w:hanging="360"/>
      </w:pPr>
    </w:lvl>
    <w:lvl w:ilvl="7" w:tplc="04140019">
      <w:start w:val="1"/>
      <w:numFmt w:val="lowerLetter"/>
      <w:lvlText w:val="%8."/>
      <w:lvlJc w:val="left"/>
      <w:pPr>
        <w:ind w:left="5565" w:hanging="360"/>
      </w:pPr>
    </w:lvl>
    <w:lvl w:ilvl="8" w:tplc="0414001B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333C532C"/>
    <w:multiLevelType w:val="hybridMultilevel"/>
    <w:tmpl w:val="F716B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14DE2"/>
    <w:multiLevelType w:val="hybridMultilevel"/>
    <w:tmpl w:val="3306BDFC"/>
    <w:lvl w:ilvl="0" w:tplc="04140017">
      <w:start w:val="2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352C0"/>
    <w:multiLevelType w:val="hybridMultilevel"/>
    <w:tmpl w:val="85709B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14831"/>
    <w:multiLevelType w:val="hybridMultilevel"/>
    <w:tmpl w:val="F9FE185C"/>
    <w:lvl w:ilvl="0" w:tplc="36EA1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461C2"/>
    <w:multiLevelType w:val="hybridMultilevel"/>
    <w:tmpl w:val="163A155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B05E5"/>
    <w:multiLevelType w:val="hybridMultilevel"/>
    <w:tmpl w:val="03D677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2391F"/>
    <w:multiLevelType w:val="hybridMultilevel"/>
    <w:tmpl w:val="0324F6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830985">
    <w:abstractNumId w:val="4"/>
  </w:num>
  <w:num w:numId="2" w16cid:durableId="182971118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98907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7216402">
    <w:abstractNumId w:val="7"/>
  </w:num>
  <w:num w:numId="5" w16cid:durableId="18783933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599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3189174">
    <w:abstractNumId w:val="0"/>
  </w:num>
  <w:num w:numId="8" w16cid:durableId="739056615">
    <w:abstractNumId w:val="2"/>
  </w:num>
  <w:num w:numId="9" w16cid:durableId="125104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DE"/>
    <w:rsid w:val="00000B31"/>
    <w:rsid w:val="00003304"/>
    <w:rsid w:val="0000584B"/>
    <w:rsid w:val="00005ACE"/>
    <w:rsid w:val="0000618C"/>
    <w:rsid w:val="00007355"/>
    <w:rsid w:val="0001404E"/>
    <w:rsid w:val="00023112"/>
    <w:rsid w:val="0002523E"/>
    <w:rsid w:val="000519ED"/>
    <w:rsid w:val="00061054"/>
    <w:rsid w:val="00075E5B"/>
    <w:rsid w:val="000B080F"/>
    <w:rsid w:val="000B2CA3"/>
    <w:rsid w:val="000C7CEE"/>
    <w:rsid w:val="000D6FF1"/>
    <w:rsid w:val="000E6B50"/>
    <w:rsid w:val="000F4F4D"/>
    <w:rsid w:val="00101C33"/>
    <w:rsid w:val="00110A38"/>
    <w:rsid w:val="001149E7"/>
    <w:rsid w:val="0011604B"/>
    <w:rsid w:val="0013041A"/>
    <w:rsid w:val="00132BCB"/>
    <w:rsid w:val="00132F0C"/>
    <w:rsid w:val="00135D85"/>
    <w:rsid w:val="0014577E"/>
    <w:rsid w:val="001522C2"/>
    <w:rsid w:val="00153B20"/>
    <w:rsid w:val="00165AD0"/>
    <w:rsid w:val="0017018E"/>
    <w:rsid w:val="001724D7"/>
    <w:rsid w:val="0017701D"/>
    <w:rsid w:val="0019358E"/>
    <w:rsid w:val="001A3E58"/>
    <w:rsid w:val="001A7908"/>
    <w:rsid w:val="001B0A5A"/>
    <w:rsid w:val="001B4C05"/>
    <w:rsid w:val="001C0BF2"/>
    <w:rsid w:val="001C1CD2"/>
    <w:rsid w:val="001C1F8C"/>
    <w:rsid w:val="001D2A1E"/>
    <w:rsid w:val="001D5982"/>
    <w:rsid w:val="001D5C9C"/>
    <w:rsid w:val="001D6B0D"/>
    <w:rsid w:val="001E5E18"/>
    <w:rsid w:val="0020570B"/>
    <w:rsid w:val="0021345F"/>
    <w:rsid w:val="00242197"/>
    <w:rsid w:val="002558B2"/>
    <w:rsid w:val="0026446B"/>
    <w:rsid w:val="00264A50"/>
    <w:rsid w:val="00270FF0"/>
    <w:rsid w:val="00271749"/>
    <w:rsid w:val="00277EF5"/>
    <w:rsid w:val="00282D83"/>
    <w:rsid w:val="00287AE0"/>
    <w:rsid w:val="002A3C8A"/>
    <w:rsid w:val="002B3389"/>
    <w:rsid w:val="002B36FF"/>
    <w:rsid w:val="002B77AB"/>
    <w:rsid w:val="002B7861"/>
    <w:rsid w:val="002C5C5D"/>
    <w:rsid w:val="002D2299"/>
    <w:rsid w:val="002F69E3"/>
    <w:rsid w:val="00300422"/>
    <w:rsid w:val="003016B6"/>
    <w:rsid w:val="00307B6C"/>
    <w:rsid w:val="003205E0"/>
    <w:rsid w:val="003249C6"/>
    <w:rsid w:val="00324A17"/>
    <w:rsid w:val="00337EE4"/>
    <w:rsid w:val="00360EE8"/>
    <w:rsid w:val="003665DC"/>
    <w:rsid w:val="003666E4"/>
    <w:rsid w:val="0037504D"/>
    <w:rsid w:val="00380DA2"/>
    <w:rsid w:val="00383758"/>
    <w:rsid w:val="003860BB"/>
    <w:rsid w:val="00387A37"/>
    <w:rsid w:val="003935FE"/>
    <w:rsid w:val="00394923"/>
    <w:rsid w:val="003A0DFA"/>
    <w:rsid w:val="003A63AF"/>
    <w:rsid w:val="003B0AD0"/>
    <w:rsid w:val="003B0F04"/>
    <w:rsid w:val="003B2DBF"/>
    <w:rsid w:val="003C0DBC"/>
    <w:rsid w:val="003C33E2"/>
    <w:rsid w:val="003C445A"/>
    <w:rsid w:val="003C70EF"/>
    <w:rsid w:val="003D0FA5"/>
    <w:rsid w:val="003D69B6"/>
    <w:rsid w:val="003E2306"/>
    <w:rsid w:val="003E4DCC"/>
    <w:rsid w:val="00402F55"/>
    <w:rsid w:val="00406B5B"/>
    <w:rsid w:val="00420200"/>
    <w:rsid w:val="0042414D"/>
    <w:rsid w:val="00426840"/>
    <w:rsid w:val="004407E7"/>
    <w:rsid w:val="00453AD2"/>
    <w:rsid w:val="00462C6C"/>
    <w:rsid w:val="00465735"/>
    <w:rsid w:val="0046634D"/>
    <w:rsid w:val="00470E9D"/>
    <w:rsid w:val="00476585"/>
    <w:rsid w:val="004949B7"/>
    <w:rsid w:val="004973F6"/>
    <w:rsid w:val="004A2CF9"/>
    <w:rsid w:val="004B18CD"/>
    <w:rsid w:val="004B4209"/>
    <w:rsid w:val="004B7432"/>
    <w:rsid w:val="004D2417"/>
    <w:rsid w:val="004F21B6"/>
    <w:rsid w:val="00503675"/>
    <w:rsid w:val="00507894"/>
    <w:rsid w:val="00513875"/>
    <w:rsid w:val="0051795B"/>
    <w:rsid w:val="00524F8F"/>
    <w:rsid w:val="005410BD"/>
    <w:rsid w:val="00564B23"/>
    <w:rsid w:val="00570191"/>
    <w:rsid w:val="00581896"/>
    <w:rsid w:val="00597FC5"/>
    <w:rsid w:val="005A1DDE"/>
    <w:rsid w:val="005A380B"/>
    <w:rsid w:val="005A3D10"/>
    <w:rsid w:val="005A5C74"/>
    <w:rsid w:val="005A6DA2"/>
    <w:rsid w:val="005C0318"/>
    <w:rsid w:val="005C6767"/>
    <w:rsid w:val="005C6C34"/>
    <w:rsid w:val="005D7358"/>
    <w:rsid w:val="005D77D1"/>
    <w:rsid w:val="005E3E17"/>
    <w:rsid w:val="005F0C70"/>
    <w:rsid w:val="005F50F7"/>
    <w:rsid w:val="005F755C"/>
    <w:rsid w:val="00604943"/>
    <w:rsid w:val="00611C61"/>
    <w:rsid w:val="00614078"/>
    <w:rsid w:val="00614F34"/>
    <w:rsid w:val="006155F4"/>
    <w:rsid w:val="006301F6"/>
    <w:rsid w:val="0063526A"/>
    <w:rsid w:val="00641592"/>
    <w:rsid w:val="006441F1"/>
    <w:rsid w:val="00652197"/>
    <w:rsid w:val="00654162"/>
    <w:rsid w:val="00663179"/>
    <w:rsid w:val="00663454"/>
    <w:rsid w:val="00663911"/>
    <w:rsid w:val="00666193"/>
    <w:rsid w:val="0067008B"/>
    <w:rsid w:val="006846F3"/>
    <w:rsid w:val="0069243B"/>
    <w:rsid w:val="00694690"/>
    <w:rsid w:val="00694EC4"/>
    <w:rsid w:val="006958DC"/>
    <w:rsid w:val="006A0DCC"/>
    <w:rsid w:val="006A2163"/>
    <w:rsid w:val="006B0DFB"/>
    <w:rsid w:val="006B1F43"/>
    <w:rsid w:val="006C7BEE"/>
    <w:rsid w:val="0070116C"/>
    <w:rsid w:val="00714488"/>
    <w:rsid w:val="00721AAC"/>
    <w:rsid w:val="007368EE"/>
    <w:rsid w:val="00737986"/>
    <w:rsid w:val="00740DC8"/>
    <w:rsid w:val="0074567A"/>
    <w:rsid w:val="00766B6A"/>
    <w:rsid w:val="0078729E"/>
    <w:rsid w:val="00794F5E"/>
    <w:rsid w:val="007A1547"/>
    <w:rsid w:val="007A19B7"/>
    <w:rsid w:val="007A4636"/>
    <w:rsid w:val="007C30B4"/>
    <w:rsid w:val="007C6AB2"/>
    <w:rsid w:val="007D7F32"/>
    <w:rsid w:val="007E188A"/>
    <w:rsid w:val="007F0115"/>
    <w:rsid w:val="007F0D94"/>
    <w:rsid w:val="007F1F95"/>
    <w:rsid w:val="008001EC"/>
    <w:rsid w:val="00802EE2"/>
    <w:rsid w:val="008041D0"/>
    <w:rsid w:val="00811075"/>
    <w:rsid w:val="00826C43"/>
    <w:rsid w:val="00853112"/>
    <w:rsid w:val="0085787E"/>
    <w:rsid w:val="008634E9"/>
    <w:rsid w:val="00872C77"/>
    <w:rsid w:val="00872D66"/>
    <w:rsid w:val="008750AD"/>
    <w:rsid w:val="00881F66"/>
    <w:rsid w:val="00891B3E"/>
    <w:rsid w:val="00895DC3"/>
    <w:rsid w:val="008B25C5"/>
    <w:rsid w:val="008C02A6"/>
    <w:rsid w:val="008C6895"/>
    <w:rsid w:val="008D600F"/>
    <w:rsid w:val="008E547F"/>
    <w:rsid w:val="00905369"/>
    <w:rsid w:val="00905C59"/>
    <w:rsid w:val="00907AF0"/>
    <w:rsid w:val="00924E80"/>
    <w:rsid w:val="00951EDF"/>
    <w:rsid w:val="00952AA3"/>
    <w:rsid w:val="00963C7A"/>
    <w:rsid w:val="00965BCC"/>
    <w:rsid w:val="00965DE8"/>
    <w:rsid w:val="00981998"/>
    <w:rsid w:val="00992E7C"/>
    <w:rsid w:val="0099408D"/>
    <w:rsid w:val="009B59F5"/>
    <w:rsid w:val="009C017E"/>
    <w:rsid w:val="009C76AB"/>
    <w:rsid w:val="009D2A82"/>
    <w:rsid w:val="009D38A8"/>
    <w:rsid w:val="009D5DDF"/>
    <w:rsid w:val="009D7DA1"/>
    <w:rsid w:val="00A24D47"/>
    <w:rsid w:val="00A2611A"/>
    <w:rsid w:val="00A41B74"/>
    <w:rsid w:val="00A54E0B"/>
    <w:rsid w:val="00A56725"/>
    <w:rsid w:val="00A57CF5"/>
    <w:rsid w:val="00A673CF"/>
    <w:rsid w:val="00A7070F"/>
    <w:rsid w:val="00A7147B"/>
    <w:rsid w:val="00A836B6"/>
    <w:rsid w:val="00A84467"/>
    <w:rsid w:val="00AA2BE4"/>
    <w:rsid w:val="00AA546B"/>
    <w:rsid w:val="00AB36FE"/>
    <w:rsid w:val="00AB4AE2"/>
    <w:rsid w:val="00AB4CAC"/>
    <w:rsid w:val="00AC5ECB"/>
    <w:rsid w:val="00AD1E59"/>
    <w:rsid w:val="00AE4220"/>
    <w:rsid w:val="00AE75C0"/>
    <w:rsid w:val="00AF4F0A"/>
    <w:rsid w:val="00AF6302"/>
    <w:rsid w:val="00AF65AF"/>
    <w:rsid w:val="00B0309A"/>
    <w:rsid w:val="00B03D41"/>
    <w:rsid w:val="00B03EDD"/>
    <w:rsid w:val="00B106CF"/>
    <w:rsid w:val="00B113B2"/>
    <w:rsid w:val="00B25AA5"/>
    <w:rsid w:val="00B44073"/>
    <w:rsid w:val="00B50EE2"/>
    <w:rsid w:val="00B555D3"/>
    <w:rsid w:val="00B62F3F"/>
    <w:rsid w:val="00B634DC"/>
    <w:rsid w:val="00B64299"/>
    <w:rsid w:val="00B866C0"/>
    <w:rsid w:val="00B910F0"/>
    <w:rsid w:val="00B93D7F"/>
    <w:rsid w:val="00BA1CBB"/>
    <w:rsid w:val="00BB1F17"/>
    <w:rsid w:val="00BC0F46"/>
    <w:rsid w:val="00BD3026"/>
    <w:rsid w:val="00BD4CBC"/>
    <w:rsid w:val="00BF5E57"/>
    <w:rsid w:val="00C01751"/>
    <w:rsid w:val="00C01B22"/>
    <w:rsid w:val="00C0235D"/>
    <w:rsid w:val="00C23D95"/>
    <w:rsid w:val="00C317F2"/>
    <w:rsid w:val="00C37E4D"/>
    <w:rsid w:val="00C435DF"/>
    <w:rsid w:val="00C57542"/>
    <w:rsid w:val="00C65E7B"/>
    <w:rsid w:val="00C6629C"/>
    <w:rsid w:val="00C8750F"/>
    <w:rsid w:val="00CB4670"/>
    <w:rsid w:val="00CC2842"/>
    <w:rsid w:val="00CD7BE6"/>
    <w:rsid w:val="00CE0C48"/>
    <w:rsid w:val="00CE1F4C"/>
    <w:rsid w:val="00D06D03"/>
    <w:rsid w:val="00D10FBE"/>
    <w:rsid w:val="00D16477"/>
    <w:rsid w:val="00D17087"/>
    <w:rsid w:val="00D259FC"/>
    <w:rsid w:val="00D25A47"/>
    <w:rsid w:val="00D32CE4"/>
    <w:rsid w:val="00D448E7"/>
    <w:rsid w:val="00D550ED"/>
    <w:rsid w:val="00D6047A"/>
    <w:rsid w:val="00D62198"/>
    <w:rsid w:val="00D64B62"/>
    <w:rsid w:val="00D64F5D"/>
    <w:rsid w:val="00D72579"/>
    <w:rsid w:val="00D75706"/>
    <w:rsid w:val="00D91BF0"/>
    <w:rsid w:val="00D924E4"/>
    <w:rsid w:val="00DA1D59"/>
    <w:rsid w:val="00DB5BBD"/>
    <w:rsid w:val="00DD242B"/>
    <w:rsid w:val="00DE502C"/>
    <w:rsid w:val="00DF655E"/>
    <w:rsid w:val="00E000F8"/>
    <w:rsid w:val="00E02ADB"/>
    <w:rsid w:val="00E3404C"/>
    <w:rsid w:val="00E51939"/>
    <w:rsid w:val="00E65559"/>
    <w:rsid w:val="00E659E0"/>
    <w:rsid w:val="00E769D6"/>
    <w:rsid w:val="00E871C2"/>
    <w:rsid w:val="00EA301E"/>
    <w:rsid w:val="00EA4CDC"/>
    <w:rsid w:val="00EA5360"/>
    <w:rsid w:val="00EA5588"/>
    <w:rsid w:val="00EA594B"/>
    <w:rsid w:val="00EA5B0F"/>
    <w:rsid w:val="00EB3249"/>
    <w:rsid w:val="00EC2F3D"/>
    <w:rsid w:val="00ED2FF4"/>
    <w:rsid w:val="00ED350F"/>
    <w:rsid w:val="00EE1CCE"/>
    <w:rsid w:val="00F03619"/>
    <w:rsid w:val="00F14435"/>
    <w:rsid w:val="00F14634"/>
    <w:rsid w:val="00F149CC"/>
    <w:rsid w:val="00F168F8"/>
    <w:rsid w:val="00F22D3E"/>
    <w:rsid w:val="00F372C6"/>
    <w:rsid w:val="00F406F1"/>
    <w:rsid w:val="00F43F27"/>
    <w:rsid w:val="00F565F4"/>
    <w:rsid w:val="00F6361B"/>
    <w:rsid w:val="00F726A3"/>
    <w:rsid w:val="00F802F6"/>
    <w:rsid w:val="00F82072"/>
    <w:rsid w:val="00F829A3"/>
    <w:rsid w:val="00F836FE"/>
    <w:rsid w:val="00F9108A"/>
    <w:rsid w:val="00F93101"/>
    <w:rsid w:val="00F9536F"/>
    <w:rsid w:val="00FA3036"/>
    <w:rsid w:val="00FB7F66"/>
    <w:rsid w:val="00FC135B"/>
    <w:rsid w:val="00FC1D8F"/>
    <w:rsid w:val="00FD2705"/>
    <w:rsid w:val="00FE437D"/>
    <w:rsid w:val="00FE4440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2A89B"/>
  <w15:docId w15:val="{69346AC8-BCD4-406F-BC8F-182922AD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9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table" w:styleId="Tabellrutenett">
    <w:name w:val="Table Grid"/>
    <w:basedOn w:val="Vanligtabell"/>
    <w:uiPriority w:val="59"/>
    <w:rsid w:val="007011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0116C"/>
    <w:pPr>
      <w:ind w:left="720"/>
      <w:contextualSpacing/>
    </w:pPr>
  </w:style>
  <w:style w:type="paragraph" w:customStyle="1" w:styleId="Brdtekstpaaflgende">
    <w:name w:val="Brødtekst paafølgende"/>
    <w:basedOn w:val="Brdtekst"/>
    <w:rsid w:val="00101C33"/>
  </w:style>
  <w:style w:type="paragraph" w:styleId="Brdtekst">
    <w:name w:val="Body Text"/>
    <w:basedOn w:val="Normal"/>
    <w:next w:val="Brdtekstpaaflgende"/>
    <w:link w:val="BrdtekstTegn"/>
    <w:semiHidden/>
    <w:unhideWhenUsed/>
    <w:rsid w:val="00101C33"/>
    <w:pPr>
      <w:spacing w:before="60" w:after="60" w:line="240" w:lineRule="auto"/>
    </w:pPr>
    <w:rPr>
      <w:rFonts w:ascii="Myriad Pro" w:eastAsia="Times New Roman" w:hAnsi="Myriad Pro" w:cs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101C33"/>
    <w:rPr>
      <w:rFonts w:ascii="Myriad Pro" w:hAnsi="Myriad Pro"/>
      <w:sz w:val="22"/>
    </w:rPr>
  </w:style>
  <w:style w:type="paragraph" w:styleId="NormalWeb">
    <w:name w:val="Normal (Web)"/>
    <w:basedOn w:val="Normal"/>
    <w:uiPriority w:val="99"/>
    <w:semiHidden/>
    <w:unhideWhenUsed/>
    <w:rsid w:val="00153B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gi-text13">
    <w:name w:val="gi-text13"/>
    <w:basedOn w:val="Standardskriftforavsnitt"/>
    <w:rsid w:val="008750AD"/>
  </w:style>
  <w:style w:type="paragraph" w:customStyle="1" w:styleId="Default">
    <w:name w:val="Default"/>
    <w:rsid w:val="00C023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B420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420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4209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420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4209"/>
    <w:rPr>
      <w:rFonts w:asciiTheme="minorHAnsi" w:eastAsiaTheme="minorHAnsi" w:hAnsiTheme="minorHAnsi" w:cstheme="minorBidi"/>
      <w:b/>
      <w:bCs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4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4209"/>
    <w:rPr>
      <w:rFonts w:ascii="Segoe UI" w:eastAsiaTheme="minorHAnsi" w:hAnsi="Segoe UI" w:cs="Segoe UI"/>
      <w:sz w:val="18"/>
      <w:szCs w:val="1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E75C0"/>
    <w:rPr>
      <w:color w:val="0000FF" w:themeColor="hyperlink"/>
      <w:u w:val="single"/>
    </w:rPr>
  </w:style>
  <w:style w:type="paragraph" w:customStyle="1" w:styleId="ingress">
    <w:name w:val="ingress"/>
    <w:basedOn w:val="Normal"/>
    <w:rsid w:val="00AB36F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3E4D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ldetekst">
    <w:name w:val="caption"/>
    <w:basedOn w:val="Normal"/>
    <w:next w:val="Normal"/>
    <w:uiPriority w:val="35"/>
    <w:unhideWhenUsed/>
    <w:qFormat/>
    <w:rsid w:val="005A3D1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A567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5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2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\Downloads\5674_Horingsmatri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F572515919D46A60FD76F396D4E1E" ma:contentTypeVersion="0" ma:contentTypeDescription="Opprett et nytt dokument." ma:contentTypeScope="" ma:versionID="c0ed3d8e87633f5af79058d6548498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5B5A1-E53D-4BF2-A0F9-2F890310C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B0B0E-D56F-4191-A18C-4841AD030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B6B7D1-A169-43D9-88EB-82E4FE34C0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5674_Horingsmatrise.dotx</Template>
  <TotalTime>2</TotalTime>
  <Pages>2</Pages>
  <Words>282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ErgoGroup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Arild Viddal</dc:creator>
  <cp:lastModifiedBy>Arild Viddal</cp:lastModifiedBy>
  <cp:revision>3</cp:revision>
  <cp:lastPrinted>2017-11-02T13:21:00Z</cp:lastPrinted>
  <dcterms:created xsi:type="dcterms:W3CDTF">2024-06-24T07:47:00Z</dcterms:created>
  <dcterms:modified xsi:type="dcterms:W3CDTF">2024-06-24T07:48:00Z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0x0101007FBF572515919D46A60FD76F396D4E1E</vt:lpwstr>
  </property>
</Properties>
</file>